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82816" w14:textId="77777777" w:rsidR="001131DF" w:rsidRDefault="00AB5CD4">
      <w:pPr>
        <w:spacing w:after="0" w:line="240" w:lineRule="auto"/>
        <w:jc w:val="center"/>
        <w:rPr>
          <w:rFonts w:ascii="Arial" w:eastAsia="Arial" w:hAnsi="Arial" w:cs="Arial"/>
          <w:sz w:val="20"/>
          <w:szCs w:val="20"/>
        </w:rPr>
      </w:pPr>
      <w:r>
        <w:rPr>
          <w:rFonts w:ascii="Arial" w:eastAsia="Arial" w:hAnsi="Arial" w:cs="Arial"/>
          <w:sz w:val="20"/>
          <w:szCs w:val="20"/>
        </w:rPr>
        <w:t xml:space="preserve"> </w:t>
      </w:r>
      <w:r>
        <w:rPr>
          <w:noProof/>
        </w:rPr>
        <w:drawing>
          <wp:inline distT="0" distB="0" distL="0" distR="0" wp14:anchorId="20E1D364" wp14:editId="127771A2">
            <wp:extent cx="2679700" cy="61912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679700" cy="619125"/>
                    </a:xfrm>
                    <a:prstGeom prst="rect">
                      <a:avLst/>
                    </a:prstGeom>
                    <a:ln/>
                  </pic:spPr>
                </pic:pic>
              </a:graphicData>
            </a:graphic>
          </wp:inline>
        </w:drawing>
      </w:r>
    </w:p>
    <w:p w14:paraId="67F69A33" w14:textId="77777777" w:rsidR="001131DF" w:rsidRDefault="001131DF">
      <w:pPr>
        <w:spacing w:after="0" w:line="240" w:lineRule="auto"/>
        <w:jc w:val="center"/>
        <w:rPr>
          <w:rFonts w:ascii="Arial" w:eastAsia="Arial" w:hAnsi="Arial" w:cs="Arial"/>
          <w:sz w:val="20"/>
          <w:szCs w:val="20"/>
        </w:rPr>
      </w:pPr>
    </w:p>
    <w:p w14:paraId="7A8677EE" w14:textId="77777777" w:rsidR="001131DF" w:rsidRDefault="00AB5CD4">
      <w:pPr>
        <w:spacing w:after="0" w:line="240" w:lineRule="auto"/>
        <w:jc w:val="right"/>
        <w:rPr>
          <w:rFonts w:ascii="Arial" w:eastAsia="Arial" w:hAnsi="Arial" w:cs="Arial"/>
          <w:sz w:val="20"/>
          <w:szCs w:val="20"/>
        </w:rPr>
      </w:pPr>
      <w:r>
        <w:rPr>
          <w:rFonts w:ascii="Arial" w:eastAsia="Arial" w:hAnsi="Arial" w:cs="Arial"/>
          <w:b/>
          <w:sz w:val="20"/>
          <w:szCs w:val="20"/>
          <w:u w:val="single"/>
        </w:rPr>
        <w:t>MEDIA CONTACT:</w:t>
      </w:r>
    </w:p>
    <w:p w14:paraId="13B3EAC3" w14:textId="77777777" w:rsidR="001131DF" w:rsidRDefault="00AB5CD4">
      <w:pPr>
        <w:spacing w:after="0" w:line="240" w:lineRule="auto"/>
        <w:jc w:val="right"/>
        <w:rPr>
          <w:rFonts w:ascii="Arial" w:eastAsia="Arial" w:hAnsi="Arial" w:cs="Arial"/>
          <w:sz w:val="20"/>
          <w:szCs w:val="20"/>
        </w:rPr>
      </w:pPr>
      <w:r>
        <w:rPr>
          <w:rFonts w:ascii="Arial" w:eastAsia="Arial" w:hAnsi="Arial" w:cs="Arial"/>
          <w:sz w:val="20"/>
          <w:szCs w:val="20"/>
        </w:rPr>
        <w:t>Jayne Feldman</w:t>
      </w:r>
    </w:p>
    <w:p w14:paraId="7841F3B5" w14:textId="77777777" w:rsidR="001131DF" w:rsidRDefault="00AB5CD4">
      <w:pPr>
        <w:spacing w:after="0" w:line="240" w:lineRule="auto"/>
        <w:jc w:val="right"/>
        <w:rPr>
          <w:rFonts w:ascii="Arial" w:eastAsia="Arial" w:hAnsi="Arial" w:cs="Arial"/>
          <w:sz w:val="20"/>
          <w:szCs w:val="20"/>
        </w:rPr>
      </w:pPr>
      <w:r>
        <w:rPr>
          <w:rFonts w:ascii="Arial" w:eastAsia="Arial" w:hAnsi="Arial" w:cs="Arial"/>
          <w:sz w:val="20"/>
          <w:szCs w:val="20"/>
        </w:rPr>
        <w:t>BRAVE Public Relations</w:t>
      </w:r>
    </w:p>
    <w:p w14:paraId="152F61CA" w14:textId="77777777" w:rsidR="001131DF" w:rsidRDefault="00AB5CD4">
      <w:pPr>
        <w:spacing w:after="0" w:line="240" w:lineRule="auto"/>
        <w:jc w:val="right"/>
        <w:rPr>
          <w:rFonts w:ascii="Arial" w:eastAsia="Arial" w:hAnsi="Arial" w:cs="Arial"/>
          <w:sz w:val="20"/>
          <w:szCs w:val="20"/>
        </w:rPr>
      </w:pPr>
      <w:r>
        <w:rPr>
          <w:rFonts w:ascii="Arial" w:eastAsia="Arial" w:hAnsi="Arial" w:cs="Arial"/>
          <w:sz w:val="20"/>
          <w:szCs w:val="20"/>
        </w:rPr>
        <w:t>404.233.3993</w:t>
      </w:r>
    </w:p>
    <w:p w14:paraId="55C73FC0" w14:textId="77777777" w:rsidR="001131DF" w:rsidRDefault="00AB5CD4">
      <w:pPr>
        <w:spacing w:after="0" w:line="240" w:lineRule="auto"/>
        <w:jc w:val="right"/>
        <w:rPr>
          <w:rFonts w:ascii="Arial" w:eastAsia="Arial" w:hAnsi="Arial" w:cs="Arial"/>
          <w:sz w:val="20"/>
          <w:szCs w:val="20"/>
        </w:rPr>
      </w:pPr>
      <w:hyperlink r:id="rId6">
        <w:r>
          <w:rPr>
            <w:rFonts w:ascii="Arial" w:eastAsia="Arial" w:hAnsi="Arial" w:cs="Arial"/>
            <w:color w:val="0563C1"/>
            <w:sz w:val="20"/>
            <w:szCs w:val="20"/>
            <w:u w:val="single"/>
          </w:rPr>
          <w:t>jfeldman@emailbrave.com</w:t>
        </w:r>
      </w:hyperlink>
    </w:p>
    <w:p w14:paraId="57E57986" w14:textId="77777777" w:rsidR="001131DF" w:rsidRDefault="001131DF">
      <w:pPr>
        <w:spacing w:after="0" w:line="240" w:lineRule="auto"/>
        <w:jc w:val="right"/>
        <w:rPr>
          <w:rFonts w:ascii="Arial" w:eastAsia="Arial" w:hAnsi="Arial" w:cs="Arial"/>
          <w:sz w:val="20"/>
          <w:szCs w:val="20"/>
        </w:rPr>
      </w:pPr>
    </w:p>
    <w:p w14:paraId="1973DC2E" w14:textId="77777777" w:rsidR="001131DF" w:rsidRDefault="00AB5CD4">
      <w:pPr>
        <w:spacing w:after="0" w:line="240" w:lineRule="auto"/>
        <w:jc w:val="center"/>
        <w:rPr>
          <w:rFonts w:ascii="Arial" w:eastAsia="Arial" w:hAnsi="Arial" w:cs="Arial"/>
          <w:b/>
          <w:sz w:val="20"/>
          <w:szCs w:val="20"/>
        </w:rPr>
      </w:pPr>
      <w:r>
        <w:rPr>
          <w:rFonts w:ascii="Arial" w:eastAsia="Arial" w:hAnsi="Arial" w:cs="Arial"/>
          <w:b/>
          <w:sz w:val="20"/>
          <w:szCs w:val="20"/>
        </w:rPr>
        <w:t>MEDIA ADVISORY</w:t>
      </w:r>
    </w:p>
    <w:p w14:paraId="0CD283AA" w14:textId="77777777" w:rsidR="001131DF" w:rsidRDefault="001131DF">
      <w:pPr>
        <w:spacing w:after="0" w:line="240" w:lineRule="auto"/>
        <w:jc w:val="center"/>
        <w:rPr>
          <w:rFonts w:ascii="Arial" w:eastAsia="Arial" w:hAnsi="Arial" w:cs="Arial"/>
          <w:sz w:val="20"/>
          <w:szCs w:val="20"/>
        </w:rPr>
      </w:pPr>
    </w:p>
    <w:p w14:paraId="0311D805" w14:textId="049A1545" w:rsidR="001131DF" w:rsidRDefault="00AB5CD4">
      <w:pPr>
        <w:spacing w:after="0"/>
        <w:jc w:val="center"/>
        <w:rPr>
          <w:rFonts w:ascii="Arial" w:eastAsia="Arial" w:hAnsi="Arial" w:cs="Arial"/>
          <w:b/>
          <w:sz w:val="20"/>
          <w:szCs w:val="20"/>
          <w:u w:val="single"/>
        </w:rPr>
      </w:pPr>
      <w:r>
        <w:rPr>
          <w:rFonts w:ascii="Arial" w:eastAsia="Arial" w:hAnsi="Arial" w:cs="Arial"/>
          <w:b/>
          <w:sz w:val="20"/>
          <w:szCs w:val="20"/>
          <w:u w:val="single"/>
        </w:rPr>
        <w:t xml:space="preserve">Limited-time CLUE inspired cocktails to be featured at HOBNOB Neighborhood Tavern from Jan. 16 – 20 </w:t>
      </w:r>
    </w:p>
    <w:p w14:paraId="5E98E153" w14:textId="77777777" w:rsidR="001131DF" w:rsidRDefault="00AB5CD4">
      <w:pPr>
        <w:spacing w:after="0"/>
        <w:jc w:val="center"/>
        <w:rPr>
          <w:rFonts w:ascii="Arial" w:eastAsia="Arial" w:hAnsi="Arial" w:cs="Arial"/>
          <w:i/>
          <w:sz w:val="20"/>
          <w:szCs w:val="20"/>
        </w:rPr>
      </w:pPr>
      <w:r>
        <w:rPr>
          <w:rFonts w:ascii="Arial" w:eastAsia="Arial" w:hAnsi="Arial" w:cs="Arial"/>
          <w:i/>
          <w:sz w:val="20"/>
          <w:szCs w:val="20"/>
        </w:rPr>
        <w:t xml:space="preserve">Atlanta-area HOBNOB will serve drinks inspired by the play to celebrate the </w:t>
      </w:r>
      <w:r>
        <w:rPr>
          <w:rFonts w:ascii="Arial" w:eastAsia="Arial" w:hAnsi="Arial" w:cs="Arial"/>
          <w:i/>
          <w:sz w:val="20"/>
          <w:szCs w:val="20"/>
        </w:rPr>
        <w:br/>
        <w:t>limited engagement playing the Fox Theatre Jan. 28 – Feb. 2</w:t>
      </w:r>
    </w:p>
    <w:p w14:paraId="2A091F1F" w14:textId="77777777" w:rsidR="001131DF" w:rsidRDefault="001131DF">
      <w:pPr>
        <w:spacing w:after="0" w:line="240" w:lineRule="auto"/>
        <w:jc w:val="center"/>
        <w:rPr>
          <w:rFonts w:ascii="Arial" w:eastAsia="Arial" w:hAnsi="Arial" w:cs="Arial"/>
          <w:sz w:val="20"/>
          <w:szCs w:val="20"/>
          <w:u w:val="single"/>
        </w:rPr>
      </w:pPr>
    </w:p>
    <w:p w14:paraId="3AFBBD4E" w14:textId="726C11CE" w:rsidR="001131DF" w:rsidRDefault="00AB5CD4">
      <w:pPr>
        <w:rPr>
          <w:rFonts w:ascii="Arial" w:eastAsia="Arial" w:hAnsi="Arial" w:cs="Arial"/>
          <w:sz w:val="20"/>
          <w:szCs w:val="20"/>
        </w:rPr>
      </w:pPr>
      <w:r>
        <w:rPr>
          <w:rFonts w:ascii="Arial" w:eastAsia="Arial" w:hAnsi="Arial" w:cs="Arial"/>
          <w:b/>
          <w:sz w:val="20"/>
          <w:szCs w:val="20"/>
        </w:rPr>
        <w:t xml:space="preserve">ATLANTA (Jan. </w:t>
      </w:r>
      <w:r w:rsidR="005C323E">
        <w:rPr>
          <w:rFonts w:ascii="Arial" w:eastAsia="Arial" w:hAnsi="Arial" w:cs="Arial"/>
          <w:b/>
          <w:sz w:val="20"/>
          <w:szCs w:val="20"/>
        </w:rPr>
        <w:t>1</w:t>
      </w:r>
      <w:r w:rsidR="00D70B35">
        <w:rPr>
          <w:rFonts w:ascii="Arial" w:eastAsia="Arial" w:hAnsi="Arial" w:cs="Arial"/>
          <w:b/>
          <w:sz w:val="20"/>
          <w:szCs w:val="20"/>
        </w:rPr>
        <w:t>6</w:t>
      </w:r>
      <w:r>
        <w:rPr>
          <w:rFonts w:ascii="Arial" w:eastAsia="Arial" w:hAnsi="Arial" w:cs="Arial"/>
          <w:b/>
          <w:sz w:val="20"/>
          <w:szCs w:val="20"/>
        </w:rPr>
        <w:t>, 202</w:t>
      </w:r>
      <w:r w:rsidR="005C323E">
        <w:rPr>
          <w:rFonts w:ascii="Arial" w:eastAsia="Arial" w:hAnsi="Arial" w:cs="Arial"/>
          <w:b/>
          <w:sz w:val="20"/>
          <w:szCs w:val="20"/>
        </w:rPr>
        <w:t>5</w:t>
      </w:r>
      <w:r>
        <w:rPr>
          <w:rFonts w:ascii="Arial" w:eastAsia="Arial" w:hAnsi="Arial" w:cs="Arial"/>
          <w:b/>
          <w:sz w:val="20"/>
          <w:szCs w:val="20"/>
        </w:rPr>
        <w:t xml:space="preserve">) – Regions Bank Broadway in Atlanta </w:t>
      </w:r>
      <w:r>
        <w:rPr>
          <w:rFonts w:ascii="Arial" w:eastAsia="Arial" w:hAnsi="Arial" w:cs="Arial"/>
          <w:sz w:val="20"/>
          <w:szCs w:val="20"/>
        </w:rPr>
        <w:t xml:space="preserve">has teamed up with </w:t>
      </w:r>
      <w:r>
        <w:rPr>
          <w:rFonts w:ascii="Arial" w:eastAsia="Arial" w:hAnsi="Arial" w:cs="Arial"/>
          <w:b/>
          <w:sz w:val="20"/>
          <w:szCs w:val="20"/>
        </w:rPr>
        <w:t>HOBNOB Neighborhood Tavern</w:t>
      </w:r>
      <w:r>
        <w:rPr>
          <w:rFonts w:ascii="Arial" w:eastAsia="Arial" w:hAnsi="Arial" w:cs="Arial"/>
          <w:sz w:val="20"/>
          <w:szCs w:val="20"/>
        </w:rPr>
        <w:t xml:space="preserve"> to celebrate the arrival of </w:t>
      </w:r>
      <w:r>
        <w:rPr>
          <w:rFonts w:ascii="Arial" w:eastAsia="Arial" w:hAnsi="Arial" w:cs="Arial"/>
          <w:b/>
          <w:sz w:val="20"/>
          <w:szCs w:val="20"/>
        </w:rPr>
        <w:t>CLUE</w:t>
      </w:r>
      <w:r>
        <w:rPr>
          <w:rFonts w:ascii="Arial" w:eastAsia="Arial" w:hAnsi="Arial" w:cs="Arial"/>
          <w:b/>
          <w:i/>
          <w:sz w:val="20"/>
          <w:szCs w:val="20"/>
        </w:rPr>
        <w:t xml:space="preserve"> </w:t>
      </w:r>
      <w:r>
        <w:rPr>
          <w:rFonts w:ascii="Arial" w:eastAsia="Arial" w:hAnsi="Arial" w:cs="Arial"/>
          <w:sz w:val="20"/>
          <w:szCs w:val="20"/>
        </w:rPr>
        <w:t xml:space="preserve">at the Fox Theatre as part of the 2024/2025 Regions Bank Broadway in Atlanta season. Beginning Jan. 16, HOBNOB will be whipping up </w:t>
      </w:r>
      <w:r w:rsidR="0059395B">
        <w:rPr>
          <w:rFonts w:ascii="Arial" w:eastAsia="Arial" w:hAnsi="Arial" w:cs="Arial"/>
          <w:sz w:val="20"/>
          <w:szCs w:val="20"/>
        </w:rPr>
        <w:t>two</w:t>
      </w:r>
      <w:r>
        <w:rPr>
          <w:rFonts w:ascii="Arial" w:eastAsia="Arial" w:hAnsi="Arial" w:cs="Arial"/>
          <w:sz w:val="20"/>
          <w:szCs w:val="20"/>
        </w:rPr>
        <w:t xml:space="preserve"> limited-time drinks inspired by the show including M</w:t>
      </w:r>
      <w:r w:rsidR="0059395B">
        <w:rPr>
          <w:rFonts w:ascii="Arial" w:eastAsia="Arial" w:hAnsi="Arial" w:cs="Arial"/>
          <w:sz w:val="20"/>
          <w:szCs w:val="20"/>
        </w:rPr>
        <w:t>is</w:t>
      </w:r>
      <w:r>
        <w:rPr>
          <w:rFonts w:ascii="Arial" w:eastAsia="Arial" w:hAnsi="Arial" w:cs="Arial"/>
          <w:sz w:val="20"/>
          <w:szCs w:val="20"/>
        </w:rPr>
        <w:t>s Scarlett and Mr. Green.</w:t>
      </w:r>
      <w:r w:rsidR="00620162">
        <w:rPr>
          <w:rFonts w:ascii="Arial" w:eastAsia="Arial" w:hAnsi="Arial" w:cs="Arial"/>
          <w:sz w:val="20"/>
          <w:szCs w:val="20"/>
        </w:rPr>
        <w:t xml:space="preserve"> </w:t>
      </w:r>
      <w:r>
        <w:rPr>
          <w:rFonts w:ascii="Arial" w:eastAsia="Arial" w:hAnsi="Arial" w:cs="Arial"/>
          <w:sz w:val="20"/>
          <w:szCs w:val="20"/>
        </w:rPr>
        <w:t xml:space="preserve">The delicious day-and-night drinks will be available at all six locations through Jan. 20. Tickets are available by visiting </w:t>
      </w:r>
      <w:hyperlink r:id="rId7">
        <w:r>
          <w:rPr>
            <w:rFonts w:ascii="Arial" w:eastAsia="Arial" w:hAnsi="Arial" w:cs="Arial"/>
            <w:color w:val="0563C1"/>
            <w:sz w:val="19"/>
            <w:szCs w:val="19"/>
            <w:u w:val="single"/>
          </w:rPr>
          <w:t>foxtheatre.org/Clue</w:t>
        </w:r>
      </w:hyperlink>
      <w:r>
        <w:rPr>
          <w:rFonts w:ascii="Arial" w:eastAsia="Arial" w:hAnsi="Arial" w:cs="Arial"/>
          <w:sz w:val="19"/>
          <w:szCs w:val="19"/>
        </w:rPr>
        <w:t>.</w:t>
      </w:r>
    </w:p>
    <w:p w14:paraId="669A3964" w14:textId="77777777" w:rsidR="001131DF" w:rsidRDefault="00AB5CD4">
      <w:pPr>
        <w:spacing w:after="0"/>
        <w:rPr>
          <w:rFonts w:ascii="Arial" w:eastAsia="Arial" w:hAnsi="Arial" w:cs="Arial"/>
          <w:sz w:val="20"/>
          <w:szCs w:val="20"/>
        </w:rPr>
      </w:pPr>
      <w:r>
        <w:rPr>
          <w:rFonts w:ascii="Arial" w:eastAsia="Arial" w:hAnsi="Arial" w:cs="Arial"/>
          <w:b/>
          <w:sz w:val="20"/>
          <w:szCs w:val="20"/>
        </w:rPr>
        <w:t>WHAT:</w:t>
      </w:r>
      <w:r>
        <w:rPr>
          <w:rFonts w:ascii="Arial" w:eastAsia="Arial" w:hAnsi="Arial" w:cs="Arial"/>
          <w:sz w:val="20"/>
          <w:szCs w:val="20"/>
        </w:rPr>
        <w:t xml:space="preserve">              </w:t>
      </w:r>
      <w:r>
        <w:rPr>
          <w:rFonts w:ascii="Arial" w:eastAsia="Arial" w:hAnsi="Arial" w:cs="Arial"/>
          <w:b/>
          <w:sz w:val="20"/>
          <w:szCs w:val="20"/>
        </w:rPr>
        <w:t>CLUE-inspired drinks at HOBNOB</w:t>
      </w:r>
    </w:p>
    <w:p w14:paraId="0D164922" w14:textId="38B4256B" w:rsidR="001131DF" w:rsidRDefault="00AB5CD4" w:rsidP="00620162">
      <w:pPr>
        <w:spacing w:after="0"/>
        <w:ind w:left="1440"/>
        <w:rPr>
          <w:rFonts w:ascii="Arial" w:eastAsia="Arial" w:hAnsi="Arial" w:cs="Arial"/>
          <w:i/>
          <w:sz w:val="20"/>
          <w:szCs w:val="20"/>
        </w:rPr>
      </w:pPr>
      <w:r>
        <w:rPr>
          <w:rFonts w:ascii="Arial" w:eastAsia="Arial" w:hAnsi="Arial" w:cs="Arial"/>
          <w:i/>
          <w:sz w:val="20"/>
          <w:szCs w:val="20"/>
        </w:rPr>
        <w:t xml:space="preserve">Experience drinks themed after the fan-favorite 1985 Paramount Pictures movie and inspired by the classic Hasbro board game </w:t>
      </w:r>
      <w:r w:rsidR="00620162">
        <w:rPr>
          <w:rFonts w:ascii="Arial" w:eastAsia="Arial" w:hAnsi="Arial" w:cs="Arial"/>
          <w:i/>
          <w:sz w:val="20"/>
          <w:szCs w:val="20"/>
        </w:rPr>
        <w:t xml:space="preserve">including the Miss Scarlet Dirty Shirley with a blood red sugar rim and the Mr. Green Margherita with a green salt rim. </w:t>
      </w:r>
      <w:r>
        <w:rPr>
          <w:rFonts w:ascii="Arial" w:eastAsia="Arial" w:hAnsi="Arial" w:cs="Arial"/>
          <w:i/>
          <w:sz w:val="20"/>
          <w:szCs w:val="20"/>
        </w:rPr>
        <w:t xml:space="preserve"> </w:t>
      </w:r>
    </w:p>
    <w:p w14:paraId="2B00644F" w14:textId="77777777" w:rsidR="001131DF" w:rsidRDefault="00AB5CD4">
      <w:pPr>
        <w:spacing w:before="240"/>
        <w:rPr>
          <w:rFonts w:ascii="Arial" w:eastAsia="Arial" w:hAnsi="Arial" w:cs="Arial"/>
          <w:sz w:val="20"/>
          <w:szCs w:val="20"/>
        </w:rPr>
      </w:pPr>
      <w:r>
        <w:rPr>
          <w:rFonts w:ascii="Arial" w:eastAsia="Arial" w:hAnsi="Arial" w:cs="Arial"/>
          <w:b/>
          <w:sz w:val="20"/>
          <w:szCs w:val="20"/>
        </w:rPr>
        <w:t>WHEN:</w:t>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Thursday, Jan. 16 – Monday, Jan. 20</w:t>
      </w:r>
    </w:p>
    <w:p w14:paraId="49150510" w14:textId="77777777" w:rsidR="001131DF" w:rsidRDefault="00AB5CD4">
      <w:pPr>
        <w:spacing w:after="0"/>
        <w:ind w:left="1440" w:hanging="1440"/>
        <w:rPr>
          <w:rFonts w:ascii="Arial" w:eastAsia="Arial" w:hAnsi="Arial" w:cs="Arial"/>
          <w:b/>
          <w:sz w:val="20"/>
          <w:szCs w:val="20"/>
        </w:rPr>
      </w:pPr>
      <w:r>
        <w:rPr>
          <w:rFonts w:ascii="Arial" w:eastAsia="Arial" w:hAnsi="Arial" w:cs="Arial"/>
          <w:b/>
          <w:sz w:val="20"/>
          <w:szCs w:val="20"/>
        </w:rPr>
        <w:t>WHERE:</w:t>
      </w:r>
      <w:r>
        <w:rPr>
          <w:rFonts w:ascii="Arial" w:eastAsia="Arial" w:hAnsi="Arial" w:cs="Arial"/>
          <w:sz w:val="20"/>
          <w:szCs w:val="20"/>
        </w:rPr>
        <w:tab/>
      </w:r>
      <w:hyperlink r:id="rId8">
        <w:r>
          <w:rPr>
            <w:rFonts w:ascii="Arial" w:eastAsia="Arial" w:hAnsi="Arial" w:cs="Arial"/>
            <w:b/>
            <w:color w:val="0563C1"/>
            <w:sz w:val="20"/>
            <w:szCs w:val="20"/>
            <w:u w:val="single"/>
          </w:rPr>
          <w:t>All participating HOBNOB locations</w:t>
        </w:r>
      </w:hyperlink>
    </w:p>
    <w:p w14:paraId="467012E6" w14:textId="77777777" w:rsidR="001131DF" w:rsidRDefault="00AB5CD4">
      <w:pPr>
        <w:spacing w:after="0"/>
        <w:ind w:left="1440" w:hanging="1440"/>
        <w:rPr>
          <w:rFonts w:ascii="Arial" w:eastAsia="Arial" w:hAnsi="Arial" w:cs="Arial"/>
          <w:i/>
          <w:sz w:val="20"/>
          <w:szCs w:val="20"/>
        </w:rPr>
      </w:pPr>
      <w:r>
        <w:rPr>
          <w:rFonts w:ascii="Arial" w:eastAsia="Arial" w:hAnsi="Arial" w:cs="Arial"/>
          <w:b/>
          <w:sz w:val="20"/>
          <w:szCs w:val="20"/>
        </w:rPr>
        <w:tab/>
      </w:r>
      <w:r>
        <w:rPr>
          <w:rFonts w:ascii="Arial" w:eastAsia="Arial" w:hAnsi="Arial" w:cs="Arial"/>
          <w:i/>
          <w:sz w:val="20"/>
          <w:szCs w:val="20"/>
        </w:rPr>
        <w:t xml:space="preserve">Includes Halcyon, Atlantic Station, Brookhaven, Dunwoody, Vinings and Peachtree City restaurants </w:t>
      </w:r>
    </w:p>
    <w:p w14:paraId="5491E476" w14:textId="77777777" w:rsidR="001131DF" w:rsidRDefault="001131DF">
      <w:pPr>
        <w:spacing w:after="0"/>
        <w:ind w:left="1440" w:hanging="1440"/>
        <w:rPr>
          <w:rFonts w:ascii="Arial" w:eastAsia="Arial" w:hAnsi="Arial" w:cs="Arial"/>
          <w:i/>
          <w:sz w:val="20"/>
          <w:szCs w:val="20"/>
        </w:rPr>
      </w:pPr>
    </w:p>
    <w:p w14:paraId="7BF653B6" w14:textId="77777777" w:rsidR="001131DF" w:rsidRDefault="00AB5CD4">
      <w:pPr>
        <w:ind w:left="1440" w:hanging="1440"/>
        <w:rPr>
          <w:rFonts w:ascii="Arial" w:eastAsia="Arial" w:hAnsi="Arial" w:cs="Arial"/>
          <w:sz w:val="20"/>
          <w:szCs w:val="20"/>
        </w:rPr>
      </w:pPr>
      <w:r>
        <w:rPr>
          <w:rFonts w:ascii="Arial" w:eastAsia="Arial" w:hAnsi="Arial" w:cs="Arial"/>
          <w:b/>
          <w:sz w:val="20"/>
          <w:szCs w:val="20"/>
        </w:rPr>
        <w:t xml:space="preserve">HOW:  </w:t>
      </w:r>
      <w:r>
        <w:rPr>
          <w:rFonts w:ascii="Arial" w:eastAsia="Arial" w:hAnsi="Arial" w:cs="Arial"/>
          <w:b/>
          <w:sz w:val="20"/>
          <w:szCs w:val="20"/>
        </w:rPr>
        <w:tab/>
      </w:r>
      <w:r>
        <w:rPr>
          <w:rFonts w:ascii="Arial" w:eastAsia="Arial" w:hAnsi="Arial" w:cs="Arial"/>
          <w:sz w:val="20"/>
          <w:szCs w:val="20"/>
        </w:rPr>
        <w:t xml:space="preserve">These drinks are available at each restaurant through Jan. 20. </w:t>
      </w:r>
      <w:r w:rsidRPr="00F075DC">
        <w:rPr>
          <w:rFonts w:ascii="Arial" w:eastAsia="Arial" w:hAnsi="Arial" w:cs="Arial"/>
          <w:bCs/>
          <w:sz w:val="20"/>
          <w:szCs w:val="20"/>
        </w:rPr>
        <w:t xml:space="preserve">CLUE </w:t>
      </w:r>
      <w:r>
        <w:rPr>
          <w:rFonts w:ascii="Arial" w:eastAsia="Arial" w:hAnsi="Arial" w:cs="Arial"/>
          <w:sz w:val="20"/>
          <w:szCs w:val="20"/>
        </w:rPr>
        <w:t>plays the Fox Theatre Jan. 28 – Feb. 2 as part of the 2024/2025 Regions Bank Broadway in Atlanta season. *On Jan. 20, guests who purchase any of the limited-time show-themed drink specials will be entered to win a pair of tickets to the opening night performance of CLUE at the Fox Theatre.</w:t>
      </w:r>
    </w:p>
    <w:p w14:paraId="33F66CF2" w14:textId="77777777" w:rsidR="001131DF" w:rsidRDefault="00AB5CD4">
      <w:pPr>
        <w:rPr>
          <w:rFonts w:ascii="Arial" w:eastAsia="Arial" w:hAnsi="Arial" w:cs="Arial"/>
          <w:sz w:val="20"/>
          <w:szCs w:val="20"/>
        </w:rPr>
      </w:pPr>
      <w:r>
        <w:rPr>
          <w:rFonts w:ascii="Arial" w:eastAsia="Arial" w:hAnsi="Arial" w:cs="Arial"/>
          <w:sz w:val="20"/>
          <w:szCs w:val="20"/>
        </w:rPr>
        <w:t xml:space="preserve">For more information on Regions Bank Broadway in Atlanta, visit </w:t>
      </w:r>
      <w:hyperlink r:id="rId9">
        <w:r>
          <w:rPr>
            <w:rFonts w:ascii="Arial" w:eastAsia="Arial" w:hAnsi="Arial" w:cs="Arial"/>
            <w:color w:val="0563C1"/>
            <w:sz w:val="20"/>
            <w:szCs w:val="20"/>
            <w:u w:val="single"/>
          </w:rPr>
          <w:t>broadwayinatlanta.com</w:t>
        </w:r>
      </w:hyperlink>
      <w:r>
        <w:rPr>
          <w:rFonts w:ascii="Arial" w:eastAsia="Arial" w:hAnsi="Arial" w:cs="Arial"/>
          <w:sz w:val="20"/>
          <w:szCs w:val="20"/>
        </w:rPr>
        <w:t xml:space="preserve">. </w:t>
      </w:r>
      <w:r>
        <w:rPr>
          <w:rFonts w:ascii="Arial" w:eastAsia="Arial" w:hAnsi="Arial" w:cs="Arial"/>
          <w:sz w:val="19"/>
          <w:szCs w:val="19"/>
        </w:rPr>
        <w:t xml:space="preserve">For more information about </w:t>
      </w:r>
      <w:r>
        <w:rPr>
          <w:rFonts w:ascii="Arial" w:eastAsia="Arial" w:hAnsi="Arial" w:cs="Arial"/>
          <w:b/>
          <w:sz w:val="19"/>
          <w:szCs w:val="19"/>
        </w:rPr>
        <w:t xml:space="preserve">CLUE </w:t>
      </w:r>
      <w:r>
        <w:rPr>
          <w:rFonts w:ascii="Arial" w:eastAsia="Arial" w:hAnsi="Arial" w:cs="Arial"/>
          <w:sz w:val="19"/>
          <w:szCs w:val="19"/>
        </w:rPr>
        <w:t xml:space="preserve">at the Fox Theatre, please visit </w:t>
      </w:r>
      <w:hyperlink r:id="rId10">
        <w:r>
          <w:rPr>
            <w:rFonts w:ascii="Arial" w:eastAsia="Arial" w:hAnsi="Arial" w:cs="Arial"/>
            <w:color w:val="0563C1"/>
            <w:sz w:val="19"/>
            <w:szCs w:val="19"/>
            <w:u w:val="single"/>
          </w:rPr>
          <w:t>foxtheatre.org/Clue</w:t>
        </w:r>
      </w:hyperlink>
      <w:r>
        <w:rPr>
          <w:rFonts w:ascii="Arial" w:eastAsia="Arial" w:hAnsi="Arial" w:cs="Arial"/>
          <w:sz w:val="19"/>
          <w:szCs w:val="19"/>
        </w:rPr>
        <w:t xml:space="preserve">. </w:t>
      </w:r>
      <w:r>
        <w:rPr>
          <w:rFonts w:ascii="Arial" w:eastAsia="Arial" w:hAnsi="Arial" w:cs="Arial"/>
          <w:sz w:val="20"/>
          <w:szCs w:val="20"/>
        </w:rPr>
        <w:t xml:space="preserve">To learn more about HOBNOB, visit </w:t>
      </w:r>
      <w:hyperlink r:id="rId11">
        <w:r>
          <w:rPr>
            <w:rFonts w:ascii="Arial" w:eastAsia="Arial" w:hAnsi="Arial" w:cs="Arial"/>
            <w:color w:val="0563C1"/>
            <w:sz w:val="20"/>
            <w:szCs w:val="20"/>
            <w:u w:val="single"/>
          </w:rPr>
          <w:t>hobnobatlanta.com</w:t>
        </w:r>
      </w:hyperlink>
    </w:p>
    <w:p w14:paraId="0FBE5543" w14:textId="77777777" w:rsidR="001131DF" w:rsidRDefault="00AB5CD4">
      <w:pPr>
        <w:jc w:val="center"/>
        <w:rPr>
          <w:rFonts w:ascii="Arial" w:eastAsia="Arial" w:hAnsi="Arial" w:cs="Arial"/>
          <w:sz w:val="20"/>
          <w:szCs w:val="20"/>
        </w:rPr>
      </w:pPr>
      <w:r>
        <w:rPr>
          <w:rFonts w:ascii="Arial" w:eastAsia="Arial" w:hAnsi="Arial" w:cs="Arial"/>
          <w:sz w:val="20"/>
          <w:szCs w:val="20"/>
        </w:rPr>
        <w:t>###</w:t>
      </w:r>
    </w:p>
    <w:p w14:paraId="13D99A8C" w14:textId="77777777" w:rsidR="001131DF" w:rsidRDefault="00AB5CD4">
      <w:pPr>
        <w:spacing w:after="0"/>
        <w:rPr>
          <w:rFonts w:ascii="Arial" w:eastAsia="Arial" w:hAnsi="Arial" w:cs="Arial"/>
          <w:b/>
          <w:sz w:val="20"/>
          <w:szCs w:val="20"/>
        </w:rPr>
      </w:pPr>
      <w:r>
        <w:rPr>
          <w:rFonts w:ascii="Arial" w:eastAsia="Arial" w:hAnsi="Arial" w:cs="Arial"/>
          <w:b/>
          <w:sz w:val="20"/>
          <w:szCs w:val="20"/>
        </w:rPr>
        <w:t>About CLUE</w:t>
      </w:r>
    </w:p>
    <w:p w14:paraId="1E0AB0F9" w14:textId="77777777" w:rsidR="001131DF" w:rsidRDefault="00AB5CD4">
      <w:pPr>
        <w:jc w:val="both"/>
        <w:rPr>
          <w:rFonts w:ascii="Arial" w:eastAsia="Arial" w:hAnsi="Arial" w:cs="Arial"/>
          <w:sz w:val="19"/>
          <w:szCs w:val="19"/>
        </w:rPr>
      </w:pPr>
      <w:r>
        <w:rPr>
          <w:rFonts w:ascii="Arial" w:eastAsia="Arial" w:hAnsi="Arial" w:cs="Arial"/>
          <w:sz w:val="19"/>
          <w:szCs w:val="19"/>
        </w:rPr>
        <w:t xml:space="preserve">Murder and blackmail are on the menu when six mysterious guests assemble at Boddy Manor for a night they’ll never forget! Was it Mrs. Peacock in the study with the knife? Or was it Colonel Mustard in the library with the wrench? Based on the fan-favorite 1985 Paramount Pictures movie and inspired by the classic Hasbro board </w:t>
      </w:r>
      <w:r>
        <w:rPr>
          <w:rFonts w:ascii="Arial" w:eastAsia="Arial" w:hAnsi="Arial" w:cs="Arial"/>
          <w:sz w:val="19"/>
          <w:szCs w:val="19"/>
        </w:rPr>
        <w:lastRenderedPageBreak/>
        <w:t>game, Clue is the ultimate whodunit that will leave you dying of laughter and keep you guessing until the final twist.</w:t>
      </w:r>
    </w:p>
    <w:p w14:paraId="30BB6225" w14:textId="77777777" w:rsidR="00AB5CD4" w:rsidRPr="00AB5CD4" w:rsidRDefault="00AB5CD4" w:rsidP="00AB5CD4">
      <w:pPr>
        <w:spacing w:after="0"/>
        <w:rPr>
          <w:rFonts w:ascii="Arial" w:eastAsia="Arial" w:hAnsi="Arial" w:cs="Arial"/>
          <w:b/>
          <w:bCs/>
          <w:sz w:val="20"/>
          <w:szCs w:val="20"/>
        </w:rPr>
      </w:pPr>
      <w:r w:rsidRPr="00AB5CD4">
        <w:rPr>
          <w:rFonts w:ascii="Arial" w:eastAsia="Arial" w:hAnsi="Arial" w:cs="Arial"/>
          <w:b/>
          <w:bCs/>
          <w:sz w:val="20"/>
          <w:szCs w:val="20"/>
        </w:rPr>
        <w:t>About Big Table Restaurants</w:t>
      </w:r>
    </w:p>
    <w:p w14:paraId="1FB0EF40" w14:textId="77777777" w:rsidR="00AB5CD4" w:rsidRPr="00AB5CD4" w:rsidRDefault="00AB5CD4" w:rsidP="00AB5CD4">
      <w:pPr>
        <w:spacing w:after="0"/>
        <w:rPr>
          <w:rFonts w:ascii="Arial" w:eastAsia="Arial" w:hAnsi="Arial" w:cs="Arial"/>
          <w:bCs/>
          <w:sz w:val="20"/>
          <w:szCs w:val="20"/>
        </w:rPr>
      </w:pPr>
      <w:r w:rsidRPr="00AB5CD4">
        <w:rPr>
          <w:rFonts w:ascii="Arial" w:eastAsia="Arial" w:hAnsi="Arial" w:cs="Arial"/>
          <w:bCs/>
          <w:sz w:val="20"/>
          <w:szCs w:val="20"/>
        </w:rPr>
        <w:t xml:space="preserve">Owned by husband-and-wife restaurateurs Sean and Becky Yeremyan, Big Table Restaurants is comprised of unique dining concepts: </w:t>
      </w:r>
      <w:hyperlink r:id="rId12" w:history="1">
        <w:r w:rsidRPr="00AB5CD4">
          <w:rPr>
            <w:rStyle w:val="Hyperlink"/>
            <w:rFonts w:ascii="Arial" w:eastAsia="Arial" w:hAnsi="Arial" w:cs="Arial"/>
            <w:bCs/>
            <w:sz w:val="20"/>
            <w:szCs w:val="20"/>
          </w:rPr>
          <w:t>HOBNOB Neighborhood Tavern</w:t>
        </w:r>
      </w:hyperlink>
      <w:r w:rsidRPr="00AB5CD4">
        <w:rPr>
          <w:rFonts w:ascii="Arial" w:eastAsia="Arial" w:hAnsi="Arial" w:cs="Arial"/>
          <w:bCs/>
          <w:sz w:val="20"/>
          <w:szCs w:val="20"/>
        </w:rPr>
        <w:t xml:space="preserve">, </w:t>
      </w:r>
      <w:hyperlink r:id="rId13" w:history="1">
        <w:r w:rsidRPr="00AB5CD4">
          <w:rPr>
            <w:rStyle w:val="Hyperlink"/>
            <w:rFonts w:ascii="Arial" w:eastAsia="Arial" w:hAnsi="Arial" w:cs="Arial"/>
            <w:bCs/>
            <w:sz w:val="20"/>
            <w:szCs w:val="20"/>
          </w:rPr>
          <w:t>Cattle Shed Wine &amp; Steak Bar</w:t>
        </w:r>
      </w:hyperlink>
      <w:r w:rsidRPr="00AB5CD4">
        <w:rPr>
          <w:rFonts w:ascii="Arial" w:eastAsia="Arial" w:hAnsi="Arial" w:cs="Arial"/>
          <w:bCs/>
          <w:sz w:val="20"/>
          <w:szCs w:val="20"/>
        </w:rPr>
        <w:t xml:space="preserve"> in Alpharetta and </w:t>
      </w:r>
      <w:hyperlink r:id="rId14" w:history="1">
        <w:r w:rsidRPr="00AB5CD4">
          <w:rPr>
            <w:rStyle w:val="Hyperlink"/>
            <w:rFonts w:ascii="Arial" w:eastAsia="Arial" w:hAnsi="Arial" w:cs="Arial"/>
            <w:bCs/>
            <w:sz w:val="20"/>
            <w:szCs w:val="20"/>
          </w:rPr>
          <w:t>Big Table Events &amp; Catering</w:t>
        </w:r>
      </w:hyperlink>
      <w:r w:rsidRPr="00AB5CD4">
        <w:rPr>
          <w:rFonts w:ascii="Arial" w:eastAsia="Arial" w:hAnsi="Arial" w:cs="Arial"/>
          <w:bCs/>
          <w:sz w:val="20"/>
          <w:szCs w:val="20"/>
        </w:rPr>
        <w:t>. With locations in Brookhaven (404-464-8971), Dunwoody (470-395-7904), Forsyth’s Halcyon community (470-448-4572), Atlantic Station (404-343-2800), Vinings (678-293-5036) and Peachtree City, HOBNOB Neighborhood Tavern offers local fare in a welcoming environment for lunch, dinner and weekend brunch plus boasts a large bourbon collection. Cattle Shed Wine &amp; Steak Bar, located in the Halcyon mixed-use development in Forsyth County, is an upscale wine and steak bar serving seasonal, chef-driven dishes including premium steak cuts, small plates and charcuterie boards along with an immense selection of more than 150 wines, aperitifs and craft cocktails. Big Table Restaurants was a 2022 Atlanta Business Chronicle Pacesetter Awards honoree (13</w:t>
      </w:r>
      <w:r w:rsidRPr="00AB5CD4">
        <w:rPr>
          <w:rFonts w:ascii="Arial" w:eastAsia="Arial" w:hAnsi="Arial" w:cs="Arial"/>
          <w:bCs/>
          <w:sz w:val="20"/>
          <w:szCs w:val="20"/>
          <w:vertAlign w:val="superscript"/>
        </w:rPr>
        <w:t>th</w:t>
      </w:r>
      <w:r w:rsidRPr="00AB5CD4">
        <w:rPr>
          <w:rFonts w:ascii="Arial" w:eastAsia="Arial" w:hAnsi="Arial" w:cs="Arial"/>
          <w:bCs/>
          <w:sz w:val="20"/>
          <w:szCs w:val="20"/>
        </w:rPr>
        <w:t xml:space="preserve"> fastest-growing private company in metro Atlanta and the fastest-growing among local hospitality companies), and Sean Yeremyan was among the 2022 Georgia Titan 100 honorees recognizing the state’s top 100 CEOs and c-level executives.</w:t>
      </w:r>
    </w:p>
    <w:p w14:paraId="3CE6B17C" w14:textId="77777777" w:rsidR="00AB5CD4" w:rsidRDefault="00AB5CD4">
      <w:pPr>
        <w:spacing w:after="0"/>
        <w:rPr>
          <w:rFonts w:ascii="Arial" w:eastAsia="Arial" w:hAnsi="Arial" w:cs="Arial"/>
          <w:b/>
          <w:sz w:val="20"/>
          <w:szCs w:val="20"/>
        </w:rPr>
      </w:pPr>
    </w:p>
    <w:p w14:paraId="72BE92D3" w14:textId="77777777" w:rsidR="001131DF" w:rsidRDefault="00AB5CD4">
      <w:pPr>
        <w:jc w:val="both"/>
        <w:rPr>
          <w:rFonts w:ascii="Arial" w:eastAsia="Arial" w:hAnsi="Arial" w:cs="Arial"/>
          <w:sz w:val="19"/>
          <w:szCs w:val="19"/>
        </w:rPr>
      </w:pPr>
      <w:r>
        <w:rPr>
          <w:rFonts w:ascii="Arial" w:eastAsia="Arial" w:hAnsi="Arial" w:cs="Arial"/>
          <w:sz w:val="19"/>
          <w:szCs w:val="19"/>
        </w:rPr>
        <w:t xml:space="preserve">The </w:t>
      </w:r>
      <w:r>
        <w:rPr>
          <w:rFonts w:ascii="Arial" w:eastAsia="Arial" w:hAnsi="Arial" w:cs="Arial"/>
          <w:b/>
          <w:sz w:val="19"/>
          <w:szCs w:val="19"/>
        </w:rPr>
        <w:t>John Gore Organization</w:t>
      </w:r>
      <w:r>
        <w:rPr>
          <w:rFonts w:ascii="Arial" w:eastAsia="Arial" w:hAnsi="Arial" w:cs="Arial"/>
          <w:sz w:val="19"/>
          <w:szCs w:val="19"/>
        </w:rPr>
        <w:t xml:space="preserve"> is the leading presenter, distributor, and marketer of Broadway theater worldwide. Under the leadership of 22-time Tony-winning theater producer and owner John Gore, its family of companies includes Broadway Across America, Broadway.com, The Broadway Channel, BroadwayBox.com, Group Sales Box Office and Broadway Brands. The company presents shows in 48 cities across North America as well as on Broadway, Off-Broadway, London’s West End, Japan, and China. It has won Tony Awards in every producing category as well as numerous other Drama League, Drama Desk, and Olivier Awards.  The John Gore Organization is committed to supporting theater access and education programs that introduce Broadway to the next generation of audiences and theater professionals.</w:t>
      </w:r>
    </w:p>
    <w:p w14:paraId="141391DB" w14:textId="77777777" w:rsidR="001131DF" w:rsidRDefault="00AB5CD4">
      <w:pPr>
        <w:jc w:val="both"/>
        <w:rPr>
          <w:rFonts w:ascii="Arial" w:eastAsia="Arial" w:hAnsi="Arial" w:cs="Arial"/>
          <w:sz w:val="19"/>
          <w:szCs w:val="19"/>
        </w:rPr>
      </w:pPr>
      <w:r>
        <w:rPr>
          <w:rFonts w:ascii="Arial" w:eastAsia="Arial" w:hAnsi="Arial" w:cs="Arial"/>
          <w:b/>
          <w:sz w:val="19"/>
          <w:szCs w:val="19"/>
        </w:rPr>
        <w:t>Broadway Across America</w:t>
      </w:r>
      <w:r>
        <w:rPr>
          <w:rFonts w:ascii="Arial" w:eastAsia="Arial" w:hAnsi="Arial" w:cs="Arial"/>
          <w:b/>
          <w:i/>
          <w:sz w:val="19"/>
          <w:szCs w:val="19"/>
        </w:rPr>
        <w:t xml:space="preserve"> </w:t>
      </w:r>
      <w:r>
        <w:rPr>
          <w:rFonts w:ascii="Arial" w:eastAsia="Arial" w:hAnsi="Arial" w:cs="Arial"/>
          <w:sz w:val="19"/>
          <w:szCs w:val="19"/>
        </w:rPr>
        <w:t xml:space="preserve">(BAA) is part of the John Gore Organization family of companies, which includes Broadway.com, The Broadway Channel, BroadwayBox.com, Group Sales Box Office, and Broadway Brands.  Led by 22-time Tony-winning theater producer John Gore (Owner &amp; CEO), BAA is the foremost presenter of first-class touring productions in North America, operating in 48 markets with over 450,000 subscribers. Presentations include Disney’s </w:t>
      </w:r>
      <w:r>
        <w:rPr>
          <w:rFonts w:ascii="Arial" w:eastAsia="Arial" w:hAnsi="Arial" w:cs="Arial"/>
          <w:i/>
          <w:sz w:val="19"/>
          <w:szCs w:val="19"/>
        </w:rPr>
        <w:t>The Lion King</w:t>
      </w:r>
      <w:r>
        <w:rPr>
          <w:rFonts w:ascii="Arial" w:eastAsia="Arial" w:hAnsi="Arial" w:cs="Arial"/>
          <w:sz w:val="19"/>
          <w:szCs w:val="19"/>
        </w:rPr>
        <w:t xml:space="preserve">, </w:t>
      </w:r>
      <w:r>
        <w:rPr>
          <w:rFonts w:ascii="Arial" w:eastAsia="Arial" w:hAnsi="Arial" w:cs="Arial"/>
          <w:i/>
          <w:sz w:val="19"/>
          <w:szCs w:val="19"/>
        </w:rPr>
        <w:t>Wicked</w:t>
      </w:r>
      <w:r>
        <w:rPr>
          <w:rFonts w:ascii="Arial" w:eastAsia="Arial" w:hAnsi="Arial" w:cs="Arial"/>
          <w:sz w:val="19"/>
          <w:szCs w:val="19"/>
        </w:rPr>
        <w:t xml:space="preserve">, </w:t>
      </w:r>
      <w:r>
        <w:rPr>
          <w:rFonts w:ascii="Arial" w:eastAsia="Arial" w:hAnsi="Arial" w:cs="Arial"/>
          <w:i/>
          <w:sz w:val="19"/>
          <w:szCs w:val="19"/>
        </w:rPr>
        <w:t>The Book of Mormon</w:t>
      </w:r>
      <w:r>
        <w:rPr>
          <w:rFonts w:ascii="Arial" w:eastAsia="Arial" w:hAnsi="Arial" w:cs="Arial"/>
          <w:sz w:val="19"/>
          <w:szCs w:val="19"/>
        </w:rPr>
        <w:t xml:space="preserve">, and </w:t>
      </w:r>
      <w:r>
        <w:rPr>
          <w:rFonts w:ascii="Arial" w:eastAsia="Arial" w:hAnsi="Arial" w:cs="Arial"/>
          <w:i/>
          <w:sz w:val="19"/>
          <w:szCs w:val="19"/>
        </w:rPr>
        <w:t>Hamilton</w:t>
      </w:r>
      <w:r>
        <w:rPr>
          <w:rFonts w:ascii="Arial" w:eastAsia="Arial" w:hAnsi="Arial" w:cs="Arial"/>
          <w:sz w:val="19"/>
          <w:szCs w:val="19"/>
        </w:rPr>
        <w:t xml:space="preserve">. Current productions include </w:t>
      </w:r>
      <w:r>
        <w:rPr>
          <w:rFonts w:ascii="Arial" w:eastAsia="Arial" w:hAnsi="Arial" w:cs="Arial"/>
          <w:i/>
          <w:sz w:val="19"/>
          <w:szCs w:val="19"/>
        </w:rPr>
        <w:t>&amp;Juliet</w:t>
      </w:r>
      <w:r>
        <w:rPr>
          <w:rFonts w:ascii="Arial" w:eastAsia="Arial" w:hAnsi="Arial" w:cs="Arial"/>
          <w:sz w:val="19"/>
          <w:szCs w:val="19"/>
        </w:rPr>
        <w:t xml:space="preserve">, </w:t>
      </w:r>
      <w:r>
        <w:rPr>
          <w:rFonts w:ascii="Arial" w:eastAsia="Arial" w:hAnsi="Arial" w:cs="Arial"/>
          <w:i/>
          <w:sz w:val="19"/>
          <w:szCs w:val="19"/>
        </w:rPr>
        <w:t>Hadestown</w:t>
      </w:r>
      <w:r>
        <w:rPr>
          <w:rFonts w:ascii="Arial" w:eastAsia="Arial" w:hAnsi="Arial" w:cs="Arial"/>
          <w:sz w:val="19"/>
          <w:szCs w:val="19"/>
        </w:rPr>
        <w:t xml:space="preserve">, </w:t>
      </w:r>
      <w:r>
        <w:rPr>
          <w:rFonts w:ascii="Arial" w:eastAsia="Arial" w:hAnsi="Arial" w:cs="Arial"/>
          <w:i/>
          <w:sz w:val="19"/>
          <w:szCs w:val="19"/>
        </w:rPr>
        <w:t>Hamilton</w:t>
      </w:r>
      <w:r>
        <w:rPr>
          <w:rFonts w:ascii="Arial" w:eastAsia="Arial" w:hAnsi="Arial" w:cs="Arial"/>
          <w:sz w:val="19"/>
          <w:szCs w:val="19"/>
        </w:rPr>
        <w:t xml:space="preserve">, </w:t>
      </w:r>
      <w:r>
        <w:rPr>
          <w:rFonts w:ascii="Arial" w:eastAsia="Arial" w:hAnsi="Arial" w:cs="Arial"/>
          <w:i/>
          <w:sz w:val="19"/>
          <w:szCs w:val="19"/>
        </w:rPr>
        <w:t>Hell’s Kitchen</w:t>
      </w:r>
      <w:r>
        <w:rPr>
          <w:rFonts w:ascii="Arial" w:eastAsia="Arial" w:hAnsi="Arial" w:cs="Arial"/>
          <w:sz w:val="19"/>
          <w:szCs w:val="19"/>
        </w:rPr>
        <w:t xml:space="preserve">, </w:t>
      </w:r>
      <w:r>
        <w:rPr>
          <w:rFonts w:ascii="Arial" w:eastAsia="Arial" w:hAnsi="Arial" w:cs="Arial"/>
          <w:i/>
          <w:sz w:val="19"/>
          <w:szCs w:val="19"/>
        </w:rPr>
        <w:t>MJ: The Musical</w:t>
      </w:r>
      <w:r>
        <w:rPr>
          <w:rFonts w:ascii="Arial" w:eastAsia="Arial" w:hAnsi="Arial" w:cs="Arial"/>
          <w:sz w:val="19"/>
          <w:szCs w:val="19"/>
        </w:rPr>
        <w:t xml:space="preserve">, </w:t>
      </w:r>
      <w:r>
        <w:rPr>
          <w:rFonts w:ascii="Arial" w:eastAsia="Arial" w:hAnsi="Arial" w:cs="Arial"/>
          <w:i/>
          <w:sz w:val="19"/>
          <w:szCs w:val="19"/>
        </w:rPr>
        <w:t>Moulin Rouge! The Musical</w:t>
      </w:r>
      <w:r>
        <w:rPr>
          <w:rFonts w:ascii="Arial" w:eastAsia="Arial" w:hAnsi="Arial" w:cs="Arial"/>
          <w:sz w:val="19"/>
          <w:szCs w:val="19"/>
        </w:rPr>
        <w:t xml:space="preserve">, </w:t>
      </w:r>
      <w:r>
        <w:rPr>
          <w:rFonts w:ascii="Arial" w:eastAsia="Arial" w:hAnsi="Arial" w:cs="Arial"/>
          <w:i/>
          <w:sz w:val="19"/>
          <w:szCs w:val="19"/>
        </w:rPr>
        <w:t>The Outsiders</w:t>
      </w:r>
      <w:r>
        <w:rPr>
          <w:rFonts w:ascii="Arial" w:eastAsia="Arial" w:hAnsi="Arial" w:cs="Arial"/>
          <w:sz w:val="19"/>
          <w:szCs w:val="19"/>
        </w:rPr>
        <w:t xml:space="preserve"> and </w:t>
      </w:r>
      <w:r>
        <w:rPr>
          <w:rFonts w:ascii="Arial" w:eastAsia="Arial" w:hAnsi="Arial" w:cs="Arial"/>
          <w:i/>
          <w:sz w:val="19"/>
          <w:szCs w:val="19"/>
        </w:rPr>
        <w:t>Stereophonic</w:t>
      </w:r>
      <w:r>
        <w:rPr>
          <w:rFonts w:ascii="Arial" w:eastAsia="Arial" w:hAnsi="Arial" w:cs="Arial"/>
          <w:sz w:val="19"/>
          <w:szCs w:val="19"/>
        </w:rPr>
        <w:t>.</w:t>
      </w:r>
    </w:p>
    <w:p w14:paraId="4DCF32EF" w14:textId="77777777" w:rsidR="001131DF" w:rsidRDefault="001131DF">
      <w:pPr>
        <w:rPr>
          <w:rFonts w:ascii="Arial" w:eastAsia="Arial" w:hAnsi="Arial" w:cs="Arial"/>
          <w:sz w:val="20"/>
          <w:szCs w:val="20"/>
        </w:rPr>
      </w:pPr>
    </w:p>
    <w:sectPr w:rsidR="001131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1DF"/>
    <w:rsid w:val="001131DF"/>
    <w:rsid w:val="0059395B"/>
    <w:rsid w:val="005C323E"/>
    <w:rsid w:val="00620162"/>
    <w:rsid w:val="00AB5CD4"/>
    <w:rsid w:val="00BB59BC"/>
    <w:rsid w:val="00D70B35"/>
    <w:rsid w:val="00DB647B"/>
    <w:rsid w:val="00F0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0637"/>
  <w15:docId w15:val="{66F94873-5122-43C2-9B17-A89E4BEE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AE"/>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129AE"/>
    <w:rPr>
      <w:color w:val="0563C1" w:themeColor="hyperlink"/>
      <w:u w:val="single"/>
    </w:rPr>
  </w:style>
  <w:style w:type="character" w:styleId="UnresolvedMention">
    <w:name w:val="Unresolved Mention"/>
    <w:basedOn w:val="DefaultParagraphFont"/>
    <w:uiPriority w:val="99"/>
    <w:semiHidden/>
    <w:unhideWhenUsed/>
    <w:rsid w:val="001129AE"/>
    <w:rPr>
      <w:color w:val="605E5C"/>
      <w:shd w:val="clear" w:color="auto" w:fill="E1DFDD"/>
    </w:rPr>
  </w:style>
  <w:style w:type="character" w:styleId="CommentReference">
    <w:name w:val="annotation reference"/>
    <w:basedOn w:val="DefaultParagraphFont"/>
    <w:uiPriority w:val="99"/>
    <w:semiHidden/>
    <w:unhideWhenUsed/>
    <w:rsid w:val="007B4CF9"/>
    <w:rPr>
      <w:sz w:val="16"/>
      <w:szCs w:val="16"/>
    </w:rPr>
  </w:style>
  <w:style w:type="paragraph" w:styleId="CommentText">
    <w:name w:val="annotation text"/>
    <w:basedOn w:val="Normal"/>
    <w:link w:val="CommentTextChar"/>
    <w:uiPriority w:val="99"/>
    <w:semiHidden/>
    <w:unhideWhenUsed/>
    <w:rsid w:val="007B4CF9"/>
    <w:pPr>
      <w:spacing w:line="240" w:lineRule="auto"/>
    </w:pPr>
    <w:rPr>
      <w:sz w:val="20"/>
      <w:szCs w:val="20"/>
    </w:rPr>
  </w:style>
  <w:style w:type="character" w:customStyle="1" w:styleId="CommentTextChar">
    <w:name w:val="Comment Text Char"/>
    <w:basedOn w:val="DefaultParagraphFont"/>
    <w:link w:val="CommentText"/>
    <w:uiPriority w:val="99"/>
    <w:semiHidden/>
    <w:rsid w:val="007B4CF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B4CF9"/>
    <w:rPr>
      <w:b/>
      <w:bCs/>
    </w:rPr>
  </w:style>
  <w:style w:type="character" w:customStyle="1" w:styleId="CommentSubjectChar">
    <w:name w:val="Comment Subject Char"/>
    <w:basedOn w:val="CommentTextChar"/>
    <w:link w:val="CommentSubject"/>
    <w:uiPriority w:val="99"/>
    <w:semiHidden/>
    <w:rsid w:val="007B4CF9"/>
    <w:rPr>
      <w:rFonts w:eastAsiaTheme="minorEastAsia"/>
      <w:b/>
      <w:bCs/>
      <w:sz w:val="20"/>
      <w:szCs w:val="20"/>
    </w:rPr>
  </w:style>
  <w:style w:type="character" w:styleId="FollowedHyperlink">
    <w:name w:val="FollowedHyperlink"/>
    <w:basedOn w:val="DefaultParagraphFont"/>
    <w:uiPriority w:val="99"/>
    <w:semiHidden/>
    <w:unhideWhenUsed/>
    <w:rsid w:val="00CA3F3C"/>
    <w:rPr>
      <w:color w:val="954F72" w:themeColor="followedHyperlink"/>
      <w:u w:val="single"/>
    </w:rPr>
  </w:style>
  <w:style w:type="paragraph" w:styleId="NoSpacing">
    <w:name w:val="No Spacing"/>
    <w:uiPriority w:val="1"/>
    <w:qFormat/>
    <w:rsid w:val="00CA3F3C"/>
    <w:pPr>
      <w:spacing w:after="0" w:line="240" w:lineRule="auto"/>
    </w:pPr>
    <w:rPr>
      <w:rFonts w:cs="Times New Roman"/>
    </w:rPr>
  </w:style>
  <w:style w:type="paragraph" w:styleId="Revision">
    <w:name w:val="Revision"/>
    <w:hidden/>
    <w:uiPriority w:val="99"/>
    <w:semiHidden/>
    <w:rsid w:val="000F789C"/>
    <w:pPr>
      <w:spacing w:after="0" w:line="240" w:lineRule="auto"/>
    </w:pPr>
    <w:rPr>
      <w:rFonts w:eastAsiaTheme="minorEastAsi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119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obnobatlanta.com/locations" TargetMode="External"/><Relationship Id="rId13" Type="http://schemas.openxmlformats.org/officeDocument/2006/relationships/hyperlink" Target="https://cattleshedwinebar.com/locations/alpharetta" TargetMode="External"/><Relationship Id="rId3" Type="http://schemas.openxmlformats.org/officeDocument/2006/relationships/settings" Target="settings.xml"/><Relationship Id="rId7" Type="http://schemas.openxmlformats.org/officeDocument/2006/relationships/hyperlink" Target="https://www.foxtheatre.org/events/detail/clue_musical" TargetMode="External"/><Relationship Id="rId12" Type="http://schemas.openxmlformats.org/officeDocument/2006/relationships/hyperlink" Target="https://hobnobatlant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jfeldman@emailbrave.com" TargetMode="External"/><Relationship Id="rId11" Type="http://schemas.openxmlformats.org/officeDocument/2006/relationships/hyperlink" Target="https://www.hobnobatlanta.com/"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foxtheatre.org/events/detail/clue_musical" TargetMode="External"/><Relationship Id="rId4" Type="http://schemas.openxmlformats.org/officeDocument/2006/relationships/webSettings" Target="webSettings.xml"/><Relationship Id="rId9" Type="http://schemas.openxmlformats.org/officeDocument/2006/relationships/hyperlink" Target="http://www.broadwayinatlanta.com" TargetMode="External"/><Relationship Id="rId14" Type="http://schemas.openxmlformats.org/officeDocument/2006/relationships/hyperlink" Target="https://bigtablerestaurants.com/cat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vHfjwVzOWSIABqq3iqykIsJ5w==">CgMxLjA4AHIhMXU5d2xXbXNlaW1KUjFHdWlEODJpWEktZXNfUFA5SHUz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Brianna Poplaskie</dc:creator>
  <cp:lastModifiedBy>Jayne Feldman</cp:lastModifiedBy>
  <cp:revision>11</cp:revision>
  <dcterms:created xsi:type="dcterms:W3CDTF">2025-01-15T14:26:00Z</dcterms:created>
  <dcterms:modified xsi:type="dcterms:W3CDTF">2025-01-15T20:45:00Z</dcterms:modified>
</cp:coreProperties>
</file>